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8"/>
          <w:szCs w:val="28"/>
        </w:rPr>
        <w:t>DR GEOFF WELLS</w:t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  <w:t>CURRICULUM VITAE (summary)</w:t>
      </w:r>
    </w:p>
    <w:p>
      <w:pPr>
        <w:pStyle w:val="style0"/>
        <w:jc w:val="center"/>
      </w:pPr>
      <w:r>
        <w:rPr>
          <w:rFonts w:ascii="Times New Roman" w:cs="Arial" w:hAnsi="Times New Roman"/>
          <w:color w:val="000000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</w:pPr>
      <w:r>
        <w:rPr>
          <w:rFonts w:ascii="Times New Roman" w:cs="Arial" w:hAnsi="Times New Roman"/>
          <w:b/>
          <w:bCs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b/>
          <w:bCs/>
          <w:color w:val="000000"/>
          <w:sz w:val="24"/>
          <w:szCs w:val="24"/>
        </w:rPr>
        <w:t>EDUCATION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1970  BA (Hons) (First Class), 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Human Geography, </w:t>
      </w:r>
      <w:r>
        <w:rPr>
          <w:rFonts w:ascii="Times New Roman" w:cs="Arial" w:hAnsi="Times New Roman"/>
          <w:color w:val="000000"/>
          <w:sz w:val="24"/>
          <w:szCs w:val="24"/>
        </w:rPr>
        <w:t>University of Adelaide</w:t>
      </w:r>
    </w:p>
    <w:p>
      <w:pPr>
        <w:pStyle w:val="style0"/>
        <w:ind w:hanging="0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</w:r>
    </w:p>
    <w:p>
      <w:pPr>
        <w:pStyle w:val="style0"/>
        <w:tabs>
          <w:tab w:leader="none" w:pos="1701" w:val="left"/>
        </w:tabs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1984  Doctor of Philosophy, </w:t>
      </w:r>
      <w:r>
        <w:rPr>
          <w:rFonts w:ascii="Times New Roman" w:cs="Arial" w:hAnsi="Times New Roman"/>
          <w:color w:val="000000"/>
          <w:sz w:val="24"/>
          <w:szCs w:val="24"/>
        </w:rPr>
        <w:t xml:space="preserve">Human Geography, </w:t>
      </w:r>
      <w:r>
        <w:rPr>
          <w:rFonts w:ascii="Times New Roman" w:cs="Arial" w:hAnsi="Times New Roman"/>
          <w:color w:val="000000"/>
          <w:sz w:val="24"/>
          <w:szCs w:val="24"/>
        </w:rPr>
        <w:t>University of Adelaide</w:t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b/>
          <w:color w:val="000000"/>
          <w:sz w:val="24"/>
          <w:szCs w:val="24"/>
        </w:rPr>
        <w:t>APPOINTMENT AND POSITIONS</w:t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ind w:hanging="1440" w:left="1440" w:right="0"/>
      </w:pPr>
      <w:r>
        <w:rPr>
          <w:rFonts w:ascii="Times New Roman" w:cs="Arial" w:hAnsi="Times New Roman"/>
          <w:b/>
          <w:color w:val="000000"/>
          <w:sz w:val="24"/>
          <w:szCs w:val="24"/>
        </w:rPr>
        <w:t>Academic Appointments:</w:t>
      </w:r>
    </w:p>
    <w:p>
      <w:pPr>
        <w:pStyle w:val="style0"/>
        <w:ind w:hanging="1440" w:left="1440" w:right="0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b w:val="false"/>
          <w:bCs w:val="false"/>
          <w:color w:val="000000"/>
          <w:sz w:val="24"/>
          <w:szCs w:val="24"/>
        </w:rPr>
        <w:t>2011-201</w:t>
      </w:r>
      <w:r>
        <w:rPr>
          <w:rFonts w:ascii="Times New Roman" w:cs="Arial" w:hAnsi="Times New Roman"/>
          <w:b w:val="false"/>
          <w:bCs w:val="false"/>
          <w:color w:val="000000"/>
          <w:sz w:val="24"/>
          <w:szCs w:val="24"/>
        </w:rPr>
        <w:t>3</w:t>
      </w:r>
      <w:r>
        <w:rPr>
          <w:rFonts w:ascii="Times New Roman" w:cs="Arial" w:hAnsi="Times New Roman"/>
          <w:b w:val="false"/>
          <w:bCs w:val="false"/>
          <w:color w:val="000000"/>
          <w:sz w:val="24"/>
          <w:szCs w:val="24"/>
        </w:rPr>
        <w:tab/>
        <w:t xml:space="preserve">Senior Research Fellow, Centre for Regional Engagement, University of South Australia 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2009 </w:t>
        <w:tab/>
        <w:t>Dean: External Engagement &amp; Associate Professor, Division of Business, University of South Australia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2008-2010</w:t>
        <w:tab/>
        <w:t>Member of the Board, Asia Pacific Academy of Business in Society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2007</w:t>
        <w:tab/>
        <w:t>Founding Director, Graduate Certificate in Sustainable Business, University of South Australia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1984-1995</w:t>
        <w:tab/>
        <w:t>Foundation Dean of the Science of Creative Intelligence, Maharishi University of Management (MUM), Fairfield, Iowa USA.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1982-1984</w:t>
        <w:tab/>
        <w:tab/>
        <w:t>Assistant Professor of the Science of Creative Intelligence, MUM, USA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1985-1989</w:t>
        <w:tab/>
        <w:tab/>
        <w:t>Associate Professor of the Science of Creative Intelligence, MUM, USA</w:t>
      </w:r>
    </w:p>
    <w:p>
      <w:pPr>
        <w:pStyle w:val="style0"/>
        <w:ind w:hanging="1701" w:left="1701" w:right="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1989-1995</w:t>
        <w:tab/>
        <w:tab/>
        <w:t>Professor of the Science of Creative Intelligence, MUM, USA</w:t>
      </w:r>
    </w:p>
    <w:p>
      <w:pPr>
        <w:pStyle w:val="style33"/>
        <w:widowControl/>
        <w:tabs>
          <w:tab w:leader="none" w:pos="360" w:val="left"/>
          <w:tab w:leader="none" w:pos="720" w:val="left"/>
        </w:tabs>
        <w:spacing w:line="100" w:lineRule="atLeast"/>
        <w:ind w:hanging="0" w:left="0" w:right="0"/>
      </w:pPr>
      <w:r>
        <w:rPr>
          <w:rFonts w:ascii="Times New Roman" w:cs="Arial" w:hAnsi="Times New Roman"/>
          <w:color w:val="000000"/>
          <w:sz w:val="24"/>
          <w:szCs w:val="24"/>
          <w:lang w:eastAsia="en-US"/>
        </w:rPr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Visiting Appointments: </w:t>
      </w:r>
    </w:p>
    <w:p>
      <w:pPr>
        <w:pStyle w:val="style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ind w:hanging="1692" w:left="1701" w:right="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2002-2003</w:t>
        <w:tab/>
        <w:t>Executive-in-Residence, Sustainable Business</w:t>
      </w:r>
    </w:p>
    <w:p>
      <w:pPr>
        <w:pStyle w:val="style0"/>
        <w:ind w:hanging="0" w:left="1701" w:right="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School of Commerce, Flinders University, Adelaide, Australia</w:t>
      </w:r>
    </w:p>
    <w:p>
      <w:pPr>
        <w:pStyle w:val="style0"/>
        <w:ind w:hanging="0" w:left="0" w:right="-60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tabs>
          <w:tab w:leader="none" w:pos="720" w:val="left"/>
        </w:tabs>
        <w:ind w:hanging="0" w:left="0" w:right="-600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Teaching Awards:</w:t>
      </w:r>
    </w:p>
    <w:p>
      <w:pPr>
        <w:pStyle w:val="style0"/>
        <w:ind w:hanging="3960" w:left="3960" w:right="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ind w:hanging="1701" w:left="1701" w:right="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2005</w:t>
        <w:tab/>
        <w:t>Award for Excellence in Graduate Teaching, International Graduate School of Business, University of South Australia</w:t>
      </w:r>
    </w:p>
    <w:p>
      <w:pPr>
        <w:pStyle w:val="style29"/>
        <w:tabs>
          <w:tab w:leader="none" w:pos="3402" w:val="center"/>
          <w:tab w:leader="none" w:pos="6021" w:val="center"/>
          <w:tab w:leader="none" w:pos="10341" w:val="right"/>
        </w:tabs>
        <w:ind w:hanging="1701" w:left="1701" w:right="0"/>
      </w:pPr>
      <w:r>
        <w:rPr>
          <w:rFonts w:ascii="Times New Roman" w:cs="Arial" w:eastAsia="Times New Roman" w:hAnsi="Times New Roman"/>
          <w:color w:val="000000"/>
          <w:sz w:val="24"/>
          <w:szCs w:val="24"/>
          <w:lang w:val="en-US"/>
        </w:rPr>
        <w:t>1990</w:t>
        <w:tab/>
        <w:tab/>
        <w:t>Co-recipient, Sears-Roebuck Foundation Teaching Excellence and Campus Leadership Award, Maharishi  University of Management, USA</w:t>
      </w:r>
    </w:p>
    <w:p>
      <w:pPr>
        <w:pStyle w:val="style0"/>
        <w:ind w:hanging="0" w:left="0" w:right="-60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1986, 1987  </w:t>
        <w:tab/>
        <w:t xml:space="preserve">    Outstanding Educator Award, Maharishi University of Management, USA</w:t>
      </w:r>
    </w:p>
    <w:p>
      <w:pPr>
        <w:pStyle w:val="style0"/>
        <w:ind w:hanging="0" w:left="0" w:right="-60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pageBreakBefore/>
        <w:tabs>
          <w:tab w:leader="none" w:pos="720" w:val="left"/>
        </w:tabs>
        <w:ind w:hanging="0" w:left="0" w:right="-60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b/>
          <w:color w:val="000000"/>
          <w:sz w:val="24"/>
          <w:szCs w:val="24"/>
        </w:rPr>
        <w:t>RESEARCH</w:t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</w:pPr>
      <w:r>
        <w:rPr>
          <w:rFonts w:ascii="Times New Roman" w:cs="Arial" w:hAnsi="Times New Roman"/>
          <w:b/>
          <w:color w:val="000000"/>
          <w:sz w:val="24"/>
          <w:szCs w:val="24"/>
        </w:rPr>
        <w:t xml:space="preserve">Research interests </w:t>
      </w:r>
    </w:p>
    <w:p>
      <w:pPr>
        <w:pStyle w:val="style0"/>
        <w:tabs>
          <w:tab w:leader="none" w:pos="720" w:val="left"/>
        </w:tabs>
        <w:ind w:hanging="0" w:left="0" w:right="-600"/>
      </w:pPr>
      <w:r>
        <w:rPr>
          <w:rFonts w:ascii="Times New Roman" w:cs="Arial" w:hAnsi="Times New Roman"/>
          <w:b/>
          <w:color w:val="000000"/>
          <w:sz w:val="24"/>
          <w:szCs w:val="24"/>
        </w:rPr>
      </w:r>
    </w:p>
    <w:p>
      <w:pPr>
        <w:pStyle w:val="style0"/>
        <w:numPr>
          <w:ilvl w:val="0"/>
          <w:numId w:val="3"/>
        </w:numPr>
        <w:ind w:hanging="0" w:left="0" w:right="27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 xml:space="preserve">Economic valuation and public policy in natural resource management 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Sustainable business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Community development and community engagement</w:t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  <w:t>Consciousness Based Education</w:t>
      </w:r>
    </w:p>
    <w:p>
      <w:pPr>
        <w:pStyle w:val="style0"/>
        <w:ind w:hanging="0" w:left="720" w:right="0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Recent publications and technical reports: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(ed)  2012,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ustainable business: theory and practice of business under sustainability principles</w:t>
      </w:r>
      <w:r>
        <w:rPr>
          <w:rFonts w:ascii="Times New Roman" w:hAnsi="Times New Roman"/>
          <w:color w:val="000000"/>
          <w:sz w:val="24"/>
          <w:szCs w:val="24"/>
        </w:rPr>
        <w:t>, Edward Elgar, Cheltenham, UK (in press).</w:t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39"/>
      </w:pPr>
      <w:r>
        <w:rPr>
          <w:rFonts w:ascii="Times New Roman" w:cs="Calibri" w:hAnsi="Times New Roman"/>
          <w:color w:val="000000"/>
          <w:sz w:val="24"/>
          <w:szCs w:val="24"/>
          <w:lang w:val="en-US"/>
        </w:rPr>
        <w:t>Wells, G 2012, ‘</w:t>
      </w:r>
      <w:r>
        <w:rPr>
          <w:rFonts w:ascii="Times New Roman" w:cs="Calibri" w:hAnsi="Times New Roman"/>
          <w:color w:val="000000"/>
          <w:sz w:val="24"/>
          <w:szCs w:val="24"/>
        </w:rPr>
        <w:t>Introduction: historical and emerging themes in sustainable business’</w:t>
      </w:r>
      <w:r>
        <w:rPr>
          <w:rFonts w:ascii="Times New Roman" w:cs="Calibri" w:hAnsi="Times New Roman"/>
          <w:color w:val="000000"/>
          <w:sz w:val="24"/>
          <w:szCs w:val="24"/>
          <w:lang w:val="en-US"/>
        </w:rPr>
        <w:t xml:space="preserve">in G Wells (ed)  2012, </w:t>
      </w:r>
      <w:r>
        <w:rPr>
          <w:rFonts w:ascii="Times New Roman" w:cs="Calibri" w:hAnsi="Times New Roman"/>
          <w:i/>
          <w:iCs/>
          <w:color w:val="000000"/>
          <w:sz w:val="24"/>
          <w:szCs w:val="24"/>
          <w:lang w:val="en-US"/>
        </w:rPr>
        <w:t>S</w:t>
      </w:r>
      <w:r>
        <w:rPr>
          <w:rFonts w:ascii="Times New Roman" w:cs="Calibri" w:hAnsi="Times New Roman"/>
          <w:i/>
          <w:iCs/>
          <w:color w:val="000000"/>
          <w:sz w:val="24"/>
          <w:szCs w:val="24"/>
        </w:rPr>
        <w:t>ustainable business: theory and practice of business under sustainability principles</w:t>
      </w:r>
      <w:r>
        <w:rPr>
          <w:rFonts w:ascii="Times New Roman" w:cs="Calibri" w:hAnsi="Times New Roman"/>
          <w:color w:val="000000"/>
          <w:sz w:val="24"/>
          <w:szCs w:val="24"/>
        </w:rPr>
        <w:t>, Edward Elgar, Cheltenham, UK (in press).</w:t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2012, ‘The sustainable firm as an ethical construct’ in G Wells (ed)  2012,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ustainable business: theory and practice of business under sustainability principles</w:t>
      </w:r>
      <w:r>
        <w:rPr>
          <w:rFonts w:ascii="Times New Roman" w:hAnsi="Times New Roman"/>
          <w:color w:val="000000"/>
          <w:sz w:val="24"/>
          <w:szCs w:val="24"/>
        </w:rPr>
        <w:t>, Edward Elgar, Cheltenham, UK (in press).</w:t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  <w:t xml:space="preserve">Balston, J, Western, M, Kellett, J, Li, S, Wells, G, Gray, A 2012, </w:t>
      </w:r>
      <w:r>
        <w:rPr>
          <w:rFonts w:ascii="Times New Roman" w:hAnsi="Times New Roman"/>
          <w:i/>
          <w:color w:val="000000"/>
          <w:sz w:val="24"/>
          <w:szCs w:val="24"/>
        </w:rPr>
        <w:t>Climate change decision support framework and software for coast councils</w:t>
      </w:r>
      <w:r>
        <w:rPr>
          <w:rFonts w:ascii="Times New Roman" w:hAnsi="Times New Roman"/>
          <w:color w:val="000000"/>
          <w:sz w:val="24"/>
          <w:szCs w:val="24"/>
        </w:rPr>
        <w:t>, Department of Climate Change and Energy Efficiency, Canberra.</w:t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  <w:t xml:space="preserve">Balston, J, Iankov, I, Li S, Wells, G, Kellett, J &amp; Gray, A 2012 </w:t>
      </w:r>
      <w:r>
        <w:rPr>
          <w:rFonts w:ascii="Times New Roman" w:hAnsi="Times New Roman"/>
          <w:i/>
          <w:color w:val="000000"/>
          <w:sz w:val="24"/>
          <w:szCs w:val="24"/>
        </w:rPr>
        <w:t>Quantifying the cost of climate change impacts on local government assets</w:t>
      </w:r>
      <w:r>
        <w:rPr>
          <w:rFonts w:ascii="Times New Roman" w:hAnsi="Times New Roman"/>
          <w:color w:val="000000"/>
          <w:sz w:val="24"/>
          <w:szCs w:val="24"/>
        </w:rPr>
        <w:t xml:space="preserve">, National Climate Change Adaptation Research Facility, Canberra. </w:t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Moscardo, G, Lamberton, G &amp; Wells, G (eds) 2012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Sustainability in Australian business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Wiley, Brisbane,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Clifton, D &amp; Wells, G 2012 ‘Strategy’ in </w:t>
      </w:r>
      <w:r>
        <w:rPr>
          <w:rStyle w:val="style20"/>
          <w:rFonts w:ascii="Times New Roman" w:cs="Courier New" w:hAnsi="Times New Roman"/>
          <w:color w:val="000000"/>
          <w:sz w:val="24"/>
          <w:szCs w:val="24"/>
        </w:rPr>
        <w:t>Moscardo, G, Lamberton, P &amp; Wells, G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 (eds)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Sustainability in Australian business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Wiley, Brisbane, Australia.</w:t>
      </w:r>
    </w:p>
    <w:p>
      <w:pPr>
        <w:pStyle w:val="style35"/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2011,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Benchmarking and indicators for master-planned communities: 21st century best-practice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Delfin Lend Lease, Adelaide.</w:t>
      </w:r>
    </w:p>
    <w:p>
      <w:pPr>
        <w:pStyle w:val="style35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2010,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Sustainability for Australian business: principles and practice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Wiley, Brisbane.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34"/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 w:val="en-US"/>
        </w:rPr>
        <w:t xml:space="preserve">Yang, W, Bryan, B, MacDonald, D, Ward, J, Wells, G, Crossman, N &amp; Connor, J 2010,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en-US" w:val="en-US"/>
        </w:rPr>
        <w:t>A conservation industry for sustaining natural capital and ecosystem services in agricultural landscapes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 w:val="en-US"/>
        </w:rPr>
        <w:t>, Ecological Economics, vol. 69, no. 4, pp. 675-930.</w:t>
      </w:r>
    </w:p>
    <w:p>
      <w:pPr>
        <w:pStyle w:val="style34"/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&amp; Mallawaarachchi, T 2008,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Native vegetation management practices in a South-East farming community: a preliminary study in attitudes, values and incentives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Native Vegetation Council, Adelaide, South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 xml:space="preserve">Wells, G 2005, </w:t>
      </w:r>
      <w:r>
        <w:rPr>
          <w:rFonts w:ascii="Times New Roman" w:cs="Arial" w:hAnsi="Times New Roman"/>
          <w:i/>
          <w:iCs/>
          <w:color w:val="000000"/>
          <w:sz w:val="24"/>
          <w:szCs w:val="24"/>
          <w:lang w:val="en-US"/>
        </w:rPr>
        <w:t>Biosequestration strategy: benefit-cost and risk analysis</w:t>
      </w:r>
      <w:r>
        <w:rPr>
          <w:rFonts w:ascii="Times New Roman" w:cs="Arial" w:hAnsi="Times New Roman"/>
          <w:color w:val="000000"/>
          <w:sz w:val="24"/>
          <w:szCs w:val="24"/>
          <w:lang w:val="en-US"/>
        </w:rPr>
        <w:t>, SA Water Pty Ltd, Adelaide,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As a senior executive and consultant between 1987-2008 I have written over 80 technical and business reports for companies and organisation, including government agencies and departments.</w:t>
      </w:r>
    </w:p>
    <w:p>
      <w:pPr>
        <w:pStyle w:val="style0"/>
        <w:ind w:hanging="567" w:left="709" w:right="27"/>
        <w:jc w:val="both"/>
      </w:pPr>
      <w:r>
        <w:rPr>
          <w:rFonts w:ascii="Times New Roman" w:cs="Arial" w:hAnsi="Times New Roman"/>
          <w:color w:val="000000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Arial" w:hAnsi="Times New Roman"/>
          <w:b/>
          <w:iCs/>
          <w:color w:val="000000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Arial" w:hAnsi="Times New Roman"/>
          <w:b/>
          <w:iCs/>
          <w:color w:val="000000"/>
          <w:sz w:val="24"/>
          <w:szCs w:val="24"/>
        </w:rPr>
        <w:t>Recent Conference/Seminar papers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Wells, G 2008, ‘Local government and community under climate change: taking charge at the local level’.  Presentation to the inaugural Eastern Region Alliance of Councils Workshop, October 28, 2008, Adelaide,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Wells, G 2008, ‘Conducting council business under radical uncertainty’.  Keynote presentation to the 2008 Local Government Climate Change Summit, 4-5 June 2008, Adelaide,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Wells, G 2007, ‘Beyond sustainability screens: doing the numbers”. Keynote presentation to the Melbourne Financial Services Symposium, March 6, 2007, Melbourne,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Wells, G 2007, ‘Measuring carbon value-at-risk and value-of-gain’.  Presentation to the Melbourne Centre of Financial Studies, May 16, 2007, Melbourne, Australia.</w:t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In my professional work 1985-2012 I have made over 100 presentations to academic and professional organisations in the USA, UK and Australia.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Research Grants</w:t>
      </w:r>
    </w:p>
    <w:p>
      <w:pPr>
        <w:pStyle w:val="style0"/>
        <w:tabs>
          <w:tab w:leader="none" w:pos="1440" w:val="left"/>
        </w:tabs>
        <w:ind w:hanging="720" w:left="720" w:right="-600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ab/>
      </w:r>
    </w:p>
    <w:tbl>
      <w:tblPr>
        <w:jc w:val="left"/>
        <w:tblInd w:type="dxa" w:w="-62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388"/>
        <w:gridCol w:w="1508"/>
        <w:gridCol w:w="1894"/>
        <w:gridCol w:w="3259"/>
        <w:gridCol w:w="1562"/>
      </w:tblGrid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Year</w:t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Recipients</w:t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Funding Agency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Project</w:t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Amount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2011-2012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Centre for Regional Engagement, UniSA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Australian Government 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Department of Climate Change and Energy Efficiency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Coastal Adaptation Decision Support Pathways Project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$435,000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Centre for Regional Engagement, UniSA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East Natural Resource Management Board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 Evaluation of ‘Caring for Our Country’ projects,  Social Evaluation Questions</w:t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$15,000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2010-2012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LGA-UniSA consortium</w:t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National Climate Change Adaptation Research Fund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Developing financial tools for local government management of climate change </w:t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$550,000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2008 - 2009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IGSB, UniSA</w:t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SA Water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Valuing catchments as assets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$100,000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2005 - 2006 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Imperative Plus Pty Ltd </w:t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Native Vegetation Council, SA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Native vegetation management practices: attitudes, values, incentives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$12,000</w:t>
            </w:r>
          </w:p>
        </w:tc>
      </w:tr>
      <w:tr>
        <w:trPr>
          <w:cantSplit w:val="false"/>
        </w:trPr>
        <w:tc>
          <w:tcPr>
            <w:tcW w:type="dxa" w:w="13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2000 - 2001</w:t>
            </w:r>
          </w:p>
        </w:tc>
        <w:tc>
          <w:tcPr>
            <w:tcW w:type="dxa" w:w="15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AgPura Pty Ltd (G Wells project leader)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89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AusIndustry Start Graduate R &amp; D Grant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Mathematical model for non-GMO grain commodities logistics system</w:t>
            </w:r>
          </w:p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156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>
            <w:pPr>
              <w:pStyle w:val="style0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$100,000</w:t>
            </w:r>
          </w:p>
        </w:tc>
      </w:tr>
    </w:tbl>
    <w:p>
      <w:pPr>
        <w:pStyle w:val="style0"/>
        <w:ind w:hanging="720" w:left="1440" w:right="-605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ind w:hanging="720" w:left="1440" w:right="-605"/>
        <w:jc w:val="both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31"/>
        <w:numPr>
          <w:ilvl w:val="0"/>
          <w:numId w:val="2"/>
        </w:numPr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CONSULTING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Certified Management Consultant (CMC)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Cs/>
          <w:color w:val="000000"/>
          <w:sz w:val="24"/>
          <w:szCs w:val="24"/>
          <w:lang w:val="en-US"/>
        </w:rPr>
        <w:t>Institute of Management Consultants (Australia), Melbourne, Australia  &amp;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Cs/>
          <w:color w:val="000000"/>
          <w:sz w:val="24"/>
          <w:szCs w:val="24"/>
          <w:lang w:val="en-US"/>
        </w:rPr>
        <w:t>International Council of Management Consulting Institutes, London, UK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Member of the Institute of Management Consultants (Australia)</w:t>
      </w:r>
    </w:p>
    <w:p>
      <w:pPr>
        <w:pStyle w:val="style0"/>
        <w:widowControl w:val="false"/>
        <w:overflowPunct w:val="true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p>
      <w:pPr>
        <w:pStyle w:val="style0"/>
        <w:widowControl w:val="false"/>
        <w:overflowPunct w:val="true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  <w:t>I consult in strategy development, financial modelling, business analysis, organisational change,  and leadership and people management.  Clients have included:</w:t>
      </w:r>
    </w:p>
    <w:p>
      <w:pPr>
        <w:pStyle w:val="style0"/>
        <w:widowControl w:val="false"/>
        <w:overflowPunct w:val="true"/>
        <w:textAlignment w:val="baseline"/>
      </w:pPr>
      <w:r>
        <w:rPr>
          <w:rFonts w:ascii="Times New Roman" w:cs="Arial" w:hAnsi="Times New Roman"/>
          <w:color w:val="000000"/>
          <w:sz w:val="24"/>
          <w:szCs w:val="24"/>
          <w:lang w:val="en-US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129"/>
        <w:gridCol w:w="2129"/>
        <w:gridCol w:w="2130"/>
        <w:gridCol w:w="3468"/>
      </w:tblGrid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Company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  <w:t>Project</w:t>
            </w:r>
          </w:p>
          <w:p>
            <w:pPr>
              <w:pStyle w:val="style0"/>
              <w:widowControl w:val="false"/>
              <w:jc w:val="center"/>
            </w:pPr>
            <w:r>
              <w:rPr>
                <w:rFonts w:ascii="Times New Roman" w:cs="Arial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City of Whyalla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Facilitation of strategic planning workshops and review of strategic plan.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Keith District Hospital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Strategic and business analysis.</w:t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MEGT (Australia) Ltd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Melbourne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Business analysis, strategy development and strategic financial modelling.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City of Mount Gambier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Strategic planning &amp; organisational change in strategic management.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Delfin Lend Lease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Benchmarking audit, Mawson Lakes Joint Venture &amp; recommendations on best-practice development for Master-Planned Communities.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 Hills Council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Facilitation of strategic planning workshops and review of strategic plan.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District Council of Robe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Community engagement &amp; planning initiative.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City of Mount Gambier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2010-2011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Change processes for sustainable organization.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District Council of Robe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South Australia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2009-2010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Financial modelling and facilitation of community engagement on Marina project.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Eastern Regional Alliance of Councils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Inaugural workshop on climate change impacts for local government in the eastern region.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Workskil Inc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Leadership seminars with senior managers.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The Teleran Group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2003-2008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Facilitation of organisational and strategy review.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Delivery of modules in national leadership programs.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StudyGroup Australia Pty Ltd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Sydney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2004-2007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development and financial analysis with CEO and executive teams.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COG HR Management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2005-2007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Business mentoring and coaching.</w:t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J. &amp; A .G. Johnston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CEO strategic analysis and advising.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Playford Capital Pty Ltd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2004-2006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Facilitation and strategy reviews with Board of Directors.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Virotec International Ltd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Brisbane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2005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R &amp; D on sustainable business tools and technical services.</w:t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Retail Brands Group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Adelaide 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review and development with CFO and executive team.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Games Workshop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Sydney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review with CEO and executive team.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Institute of Medical and Veterinary Science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Adelaide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Business process and operations review and recommendations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Grounds &amp; Gardens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Adelaide 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review and development with CEO and COO.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The Australian Teenage Cancer Patients Society Ltd 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Sydney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review and development and scenario analysis with Board of Directors.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Medvet Science Pty Ltd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 xml:space="preserve">Adelaide 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2002-2003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Strategy review, development and financial modelling of all business units with Board of Directors, CEO and executive teams.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Ericsson Business Phone Pty Ltd.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Sydney, Brisbane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Strategic review and strategic financial modelling with national executive team.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Longevity Management Systems Pty Ltd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Sydney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1999-2001</w:t>
            </w:r>
          </w:p>
        </w:tc>
        <w:tc>
          <w:tcPr>
            <w:tcW w:type="dxa" w:w="34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  <w:t>Strategic financial modelling of business feasibility.</w:t>
            </w:r>
          </w:p>
          <w:p>
            <w:pPr>
              <w:pStyle w:val="style0"/>
              <w:widowControl w:val="false"/>
            </w:pPr>
            <w:r>
              <w:rPr>
                <w:rFonts w:ascii="Times New Roman" w:cs="Arial" w:hAnsi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style0"/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style31"/>
        <w:pageBreakBefore/>
        <w:numPr>
          <w:ilvl w:val="0"/>
          <w:numId w:val="2"/>
        </w:numPr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  <w:t>MANAGEMENT CONTRACTS</w:t>
      </w:r>
    </w:p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100"/>
        <w:gridCol w:w="1132"/>
        <w:gridCol w:w="3118"/>
        <w:gridCol w:w="2976"/>
        <w:gridCol w:w="2272"/>
      </w:tblGrid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From</w:t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Responsibilities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 Soft Inc (US)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Financial director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Financial management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Enlightened Audio Design Inc (US)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Director of Manufacturing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Operations management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Genetic ID Inc (US)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Founding Director and General Manager 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General management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Telegroup Network Services Inc (US)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General Manager, Asia Pacific</w:t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Management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AgPura Pty Ltd (AUS)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Managing Director</w:t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Management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Michell Australia Pty Ltd (AUS)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General Manager</w:t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Strategy &amp; Development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Medvet Science Pty Ltd (AUS)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Group Business Manager</w:t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Business management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type="dxa" w:w="11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Imperative Plus Pty Ltd (AUS)</w:t>
            </w:r>
          </w:p>
        </w:tc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Joint founding Managing Director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2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Management</w:t>
            </w:r>
          </w:p>
          <w:p>
            <w:pPr>
              <w:pStyle w:val="style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yle0"/>
        <w:suppressAutoHyphens w:val="true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cs="Arial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style0"/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footerReference r:id="rId2" w:type="default"/>
      <w:type w:val="nextPage"/>
      <w:pgSz w:h="16838" w:w="11906"/>
      <w:pgMar w:bottom="1418" w:footer="567" w:gutter="0" w:header="0" w:left="1134" w:right="1134" w:top="141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imes New Roman">
    <w:charset w:val="80"/>
    <w:family w:val="swiss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right"/>
    </w:pPr>
    <w:r>
      <w:rPr>
        <w:rFonts w:ascii="Calibri" w:cs="Arial" w:hAnsi="Calibri"/>
        <w:sz w:val="18"/>
        <w:szCs w:val="18"/>
      </w:rPr>
      <w:t xml:space="preserve">Page </w:t>
    </w:r>
    <w:r>
      <w:rPr>
        <w:rFonts w:ascii="Calibri" w:cs="Arial" w:hAnsi="Calibri"/>
        <w:b/>
        <w:sz w:val="18"/>
        <w:szCs w:val="18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Calibri" w:cs="Arial" w:hAnsi="Calibri"/>
        <w:sz w:val="18"/>
        <w:szCs w:val="18"/>
      </w:rPr>
      <w:t xml:space="preserve"> of </w:t>
    </w:r>
    <w:r>
      <w:rPr>
        <w:rFonts w:ascii="Calibri" w:cs="Arial" w:hAnsi="Calibri"/>
        <w:b/>
        <w:sz w:val="18"/>
        <w:szCs w:val="18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97" w:val="num"/>
        </w:tabs>
        <w:ind w:hanging="397" w:left="397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cs="Symbol" w:hAnsi="Symbol" w:hint="default"/>
      </w:r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n-US" w:val="en-AU"/>
    </w:rPr>
  </w:style>
  <w:style w:styleId="style1" w:type="paragraph">
    <w:name w:val="Heading 1"/>
    <w:basedOn w:val="style0"/>
    <w:next w:val="style25"/>
    <w:pPr>
      <w:keepNext/>
      <w:ind w:hanging="0" w:left="40" w:right="0"/>
    </w:pPr>
    <w:rPr>
      <w:rFonts w:ascii="Palatino" w:hAnsi="Palatino"/>
      <w:b/>
      <w:sz w:val="16"/>
    </w:rPr>
  </w:style>
  <w:style w:styleId="style2" w:type="paragraph">
    <w:name w:val="Heading 2"/>
    <w:basedOn w:val="style0"/>
    <w:next w:val="style25"/>
    <w:pPr>
      <w:keepNext/>
      <w:numPr>
        <w:ilvl w:val="1"/>
        <w:numId w:val="1"/>
      </w:numPr>
      <w:outlineLvl w:val="1"/>
    </w:pPr>
    <w:rPr>
      <w:rFonts w:ascii="Palatino" w:hAnsi="Palatino"/>
      <w:b/>
      <w:sz w:val="18"/>
    </w:rPr>
  </w:style>
  <w:style w:styleId="style3" w:type="paragraph">
    <w:name w:val="Heading 3"/>
    <w:basedOn w:val="style0"/>
    <w:next w:val="style25"/>
    <w:pPr>
      <w:keepNext/>
      <w:numPr>
        <w:ilvl w:val="2"/>
        <w:numId w:val="1"/>
      </w:numPr>
      <w:outlineLvl w:val="2"/>
    </w:pPr>
    <w:rPr>
      <w:rFonts w:ascii="Arial" w:hAnsi="Arial"/>
      <w:b/>
      <w:sz w:val="26"/>
    </w:rPr>
  </w:style>
  <w:style w:styleId="style15" w:type="character">
    <w:name w:val="Default Paragraph Font"/>
    <w:next w:val="style15"/>
    <w:rPr/>
  </w:style>
  <w:style w:styleId="style16" w:type="character">
    <w:name w:val="Footer Char"/>
    <w:basedOn w:val="style15"/>
    <w:next w:val="style16"/>
    <w:rPr>
      <w:lang w:eastAsia="en-US"/>
    </w:rPr>
  </w:style>
  <w:style w:styleId="style17" w:type="character">
    <w:name w:val="Header Char"/>
    <w:basedOn w:val="style15"/>
    <w:next w:val="style17"/>
    <w:rPr>
      <w:rFonts w:ascii="Times" w:eastAsia="Times" w:hAnsi="Times"/>
      <w:sz w:val="24"/>
      <w:lang w:eastAsia="en-US"/>
    </w:rPr>
  </w:style>
  <w:style w:styleId="style18" w:type="character">
    <w:name w:val="Internet Link"/>
    <w:basedOn w:val="style15"/>
    <w:next w:val="style18"/>
    <w:rPr>
      <w:color w:val="0000FF"/>
      <w:u w:val="single"/>
      <w:lang w:bidi="en-US" w:eastAsia="en-US" w:val="en-US"/>
    </w:rPr>
  </w:style>
  <w:style w:styleId="style19" w:type="character">
    <w:name w:val="Plain Text Char"/>
    <w:basedOn w:val="style15"/>
    <w:next w:val="style19"/>
    <w:rPr>
      <w:rFonts w:ascii="Consolas" w:cs="Calibri" w:hAnsi="Consolas"/>
      <w:sz w:val="21"/>
      <w:szCs w:val="21"/>
    </w:rPr>
  </w:style>
  <w:style w:styleId="style20" w:type="character">
    <w:name w:val="apple-style-span"/>
    <w:basedOn w:val="style15"/>
    <w:next w:val="style20"/>
    <w:rPr/>
  </w:style>
  <w:style w:styleId="style21" w:type="character">
    <w:name w:val="ListLabel 1"/>
    <w:next w:val="style21"/>
    <w:rPr>
      <w:i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color w:val="00000A"/>
      <w:sz w:val="24"/>
      <w:szCs w:val="24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0" w:before="160"/>
      <w:contextualSpacing w:val="false"/>
      <w:jc w:val="right"/>
    </w:pPr>
    <w:rPr>
      <w:rFonts w:ascii="Arial" w:eastAsia="Times" w:hAnsi="Arial"/>
    </w:rPr>
  </w:style>
  <w:style w:styleId="style26" w:type="paragraph">
    <w:name w:val="List"/>
    <w:basedOn w:val="style25"/>
    <w:next w:val="style26"/>
    <w:pPr/>
    <w:rPr>
      <w:rFonts w:ascii="Calibri" w:cs="Lohit Hindi" w:hAnsi="Calibri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ascii="Calibri" w:cs="Lohit Hindi" w:hAnsi="Calibr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ascii="Calibri" w:cs="Lohit Hindi" w:hAnsi="Calibri"/>
    </w:rPr>
  </w:style>
  <w:style w:styleId="style29" w:type="paragraph">
    <w:name w:val="Header"/>
    <w:basedOn w:val="style0"/>
    <w:next w:val="style29"/>
    <w:pPr>
      <w:suppressLineNumbers/>
      <w:tabs>
        <w:tab w:leader="none" w:pos="4320" w:val="center"/>
        <w:tab w:leader="none" w:pos="8640" w:val="right"/>
      </w:tabs>
    </w:pPr>
    <w:rPr>
      <w:rFonts w:ascii="Times" w:eastAsia="Times" w:hAnsi="Times"/>
      <w:sz w:val="24"/>
    </w:rPr>
  </w:style>
  <w:style w:styleId="style30" w:type="paragraph">
    <w:name w:val="footnote text"/>
    <w:basedOn w:val="style0"/>
    <w:next w:val="style30"/>
    <w:pPr/>
    <w:rPr>
      <w:rFonts w:ascii="Arial" w:hAnsi="Arial"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  <w:style w:styleId="style32" w:type="paragraph">
    <w:name w:val="Footer"/>
    <w:basedOn w:val="style0"/>
    <w:next w:val="style32"/>
    <w:pPr>
      <w:suppressLineNumbers/>
      <w:tabs>
        <w:tab w:leader="none" w:pos="4513" w:val="center"/>
        <w:tab w:leader="none" w:pos="9026" w:val="right"/>
      </w:tabs>
    </w:pPr>
    <w:rPr/>
  </w:style>
  <w:style w:styleId="style33" w:type="paragraph">
    <w:name w:val="Achievement"/>
    <w:basedOn w:val="style25"/>
    <w:next w:val="style33"/>
    <w:pPr>
      <w:widowControl w:val="false"/>
      <w:tabs>
        <w:tab w:leader="none" w:pos="720" w:val="left"/>
      </w:tabs>
      <w:suppressAutoHyphens w:val="true"/>
      <w:overflowPunct w:val="true"/>
      <w:spacing w:after="60" w:before="0" w:line="220" w:lineRule="atLeast"/>
      <w:ind w:hanging="360" w:left="360" w:right="-360"/>
      <w:contextualSpacing w:val="false"/>
      <w:jc w:val="left"/>
      <w:textAlignment w:val="baseline"/>
    </w:pPr>
    <w:rPr>
      <w:rFonts w:ascii="Garamond" w:cs="Garamond" w:eastAsia="Times New Roman" w:hAnsi="Garamond"/>
      <w:sz w:val="22"/>
      <w:szCs w:val="22"/>
      <w:lang w:eastAsia="ar-SA" w:val="en-US"/>
    </w:rPr>
  </w:style>
  <w:style w:styleId="style34" w:type="paragraph">
    <w:name w:val="Plain Text"/>
    <w:basedOn w:val="style0"/>
    <w:next w:val="style34"/>
    <w:pPr/>
    <w:rPr>
      <w:rFonts w:ascii="Consolas" w:cs="Calibri" w:hAnsi="Consolas"/>
      <w:sz w:val="21"/>
      <w:szCs w:val="21"/>
      <w:lang w:eastAsia="en-AU"/>
    </w:rPr>
  </w:style>
  <w:style w:styleId="style35" w:type="paragraph">
    <w:name w:val="No Spacing"/>
    <w:next w:val="style35"/>
    <w:pPr>
      <w:widowControl/>
      <w:tabs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en-US" w:val="en-AU"/>
    </w:rPr>
  </w:style>
  <w:style w:styleId="style36" w:type="paragraph">
    <w:name w:val="Job Title"/>
    <w:next w:val="style36"/>
    <w:pPr>
      <w:widowControl w:val="false"/>
      <w:tabs/>
      <w:suppressAutoHyphens w:val="true"/>
      <w:overflowPunct w:val="true"/>
      <w:spacing w:after="40" w:before="0" w:line="220" w:lineRule="atLeast"/>
      <w:contextualSpacing w:val="false"/>
      <w:textAlignment w:val="baseline"/>
    </w:pPr>
    <w:rPr>
      <w:rFonts w:ascii="Garamond" w:cs="Garamond" w:eastAsia="Times New Roman" w:hAnsi="Garamond"/>
      <w:b/>
      <w:bCs/>
      <w:color w:val="auto"/>
      <w:spacing w:val="-10"/>
      <w:sz w:val="22"/>
      <w:szCs w:val="22"/>
      <w:lang w:bidi="ar-SA" w:eastAsia="en-US" w:val="en-US"/>
    </w:rPr>
  </w:style>
  <w:style w:styleId="style37" w:type="paragraph">
    <w:name w:val="Company Name"/>
    <w:basedOn w:val="style0"/>
    <w:next w:val="style37"/>
    <w:pPr>
      <w:widowControl w:val="false"/>
      <w:tabs>
        <w:tab w:leader="none" w:pos="2160" w:val="left"/>
        <w:tab w:leader="none" w:pos="6480" w:val="right"/>
      </w:tabs>
      <w:overflowPunct w:val="true"/>
      <w:spacing w:after="40" w:before="220" w:line="220" w:lineRule="atLeast"/>
      <w:ind w:hanging="0" w:left="0" w:right="-360"/>
      <w:contextualSpacing w:val="false"/>
      <w:textAlignment w:val="baseline"/>
    </w:pPr>
    <w:rPr>
      <w:sz w:val="22"/>
      <w:szCs w:val="22"/>
      <w:lang w:val="en-US"/>
    </w:rPr>
  </w:style>
  <w:style w:styleId="style38" w:type="paragraph">
    <w:name w:val="Company Name One"/>
    <w:basedOn w:val="style37"/>
    <w:next w:val="style38"/>
    <w:pPr/>
    <w:rPr/>
  </w:style>
  <w:style w:styleId="style39" w:type="paragraph">
    <w:name w:val="[Normal]"/>
    <w:next w:val="style39"/>
    <w:pPr>
      <w:widowControl/>
      <w:tabs/>
      <w:suppressAutoHyphens w:val="true"/>
    </w:pPr>
    <w:rPr>
      <w:rFonts w:ascii="Arial" w:cs="Calibri" w:eastAsia="Times New Roman" w:hAnsi="Arial"/>
      <w:color w:val="auto"/>
      <w:sz w:val="24"/>
      <w:szCs w:val="24"/>
      <w:lang w:bidi="hi-IN" w:eastAsia="en-US" w:val="en-A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2012-05-23T04:32:00.00Z</dcterms:created>
  <dc:creator>coxda</dc:creator>
  <cp:lastModifiedBy>Geoff</cp:lastModifiedBy>
  <cp:lastPrinted>2012-09-14T00:52:00.00Z</cp:lastPrinted>
  <dcterms:modified xsi:type="dcterms:W3CDTF">2012-12-29T00:36:00.00Z</dcterms:modified>
  <cp:revision>19</cp:revision>
  <dc:title>UNIVERSITY OF SOUTH AUSTRALIA</dc:title>
</cp:coreProperties>
</file>